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A5" w:rsidRDefault="00FB526C">
      <w:pPr>
        <w:pStyle w:val="a3"/>
        <w:spacing w:beforeLines="100" w:before="312" w:afterLines="100" w:after="312"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“十三五”规划主要目标完成情况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2623"/>
        <w:gridCol w:w="1548"/>
        <w:gridCol w:w="1987"/>
        <w:gridCol w:w="3541"/>
        <w:gridCol w:w="2835"/>
        <w:gridCol w:w="882"/>
      </w:tblGrid>
      <w:tr w:rsidR="0063673F" w:rsidRPr="0063673F" w:rsidTr="0063673F">
        <w:trPr>
          <w:cantSplit/>
          <w:trHeight w:val="454"/>
          <w:tblHeader/>
          <w:jc w:val="center"/>
        </w:trPr>
        <w:tc>
          <w:tcPr>
            <w:tcW w:w="1192" w:type="pct"/>
            <w:gridSpan w:val="2"/>
            <w:vAlign w:val="center"/>
          </w:tcPr>
          <w:p w:rsidR="0063673F" w:rsidRPr="0063673F" w:rsidRDefault="0063673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63673F">
              <w:rPr>
                <w:rFonts w:ascii="宋体" w:hAnsi="宋体" w:hint="eastAsia"/>
                <w:b/>
                <w:sz w:val="24"/>
              </w:rPr>
              <w:t>规</w:t>
            </w:r>
            <w:proofErr w:type="gramEnd"/>
            <w:r w:rsidRPr="0063673F">
              <w:rPr>
                <w:rFonts w:ascii="宋体" w:hAnsi="宋体" w:hint="eastAsia"/>
                <w:b/>
                <w:sz w:val="24"/>
              </w:rPr>
              <w:t xml:space="preserve"> 划 项 目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3673F">
              <w:rPr>
                <w:rFonts w:ascii="宋体" w:hAnsi="宋体" w:hint="eastAsia"/>
                <w:b/>
                <w:sz w:val="24"/>
              </w:rPr>
              <w:t>规划目标</w:t>
            </w:r>
          </w:p>
        </w:tc>
        <w:tc>
          <w:tcPr>
            <w:tcW w:w="701" w:type="pct"/>
            <w:vAlign w:val="center"/>
          </w:tcPr>
          <w:p w:rsidR="0063673F" w:rsidRPr="0063673F" w:rsidRDefault="0063673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3673F">
              <w:rPr>
                <w:rFonts w:ascii="宋体" w:hAnsi="宋体" w:hint="eastAsia"/>
                <w:b/>
                <w:sz w:val="24"/>
              </w:rPr>
              <w:t>责任单位</w:t>
            </w:r>
          </w:p>
        </w:tc>
        <w:tc>
          <w:tcPr>
            <w:tcW w:w="1249" w:type="pct"/>
            <w:vAlign w:val="center"/>
          </w:tcPr>
          <w:p w:rsidR="0063673F" w:rsidRPr="0063673F" w:rsidRDefault="0063673F" w:rsidP="0063673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3673F">
              <w:rPr>
                <w:rFonts w:ascii="宋体" w:hAnsi="宋体" w:hint="eastAsia"/>
                <w:b/>
                <w:sz w:val="24"/>
              </w:rPr>
              <w:t>完成情况</w:t>
            </w:r>
          </w:p>
          <w:p w:rsidR="0063673F" w:rsidRPr="0063673F" w:rsidRDefault="0063673F" w:rsidP="0063673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3673F">
              <w:rPr>
                <w:rFonts w:ascii="宋体" w:hAnsi="宋体" w:hint="eastAsia"/>
                <w:b/>
                <w:sz w:val="24"/>
              </w:rPr>
              <w:t>（截止2019年12月31日）</w:t>
            </w:r>
          </w:p>
        </w:tc>
        <w:tc>
          <w:tcPr>
            <w:tcW w:w="1000" w:type="pct"/>
          </w:tcPr>
          <w:p w:rsidR="0063673F" w:rsidRPr="0063673F" w:rsidRDefault="0063673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3673F">
              <w:rPr>
                <w:rFonts w:ascii="宋体" w:hAnsi="宋体" w:hint="eastAsia"/>
                <w:b/>
                <w:sz w:val="24"/>
              </w:rPr>
              <w:t>完成情况</w:t>
            </w:r>
          </w:p>
          <w:p w:rsidR="0063673F" w:rsidRPr="0063673F" w:rsidRDefault="0063673F" w:rsidP="006E1B0C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3673F">
              <w:rPr>
                <w:rFonts w:ascii="宋体" w:hAnsi="宋体" w:hint="eastAsia"/>
                <w:b/>
                <w:sz w:val="24"/>
              </w:rPr>
              <w:t>（截止2020年9月30日）</w:t>
            </w:r>
          </w:p>
        </w:tc>
        <w:tc>
          <w:tcPr>
            <w:tcW w:w="311" w:type="pct"/>
          </w:tcPr>
          <w:p w:rsidR="0063673F" w:rsidRPr="0063673F" w:rsidRDefault="0063673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63673F"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 w:val="restart"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办学水平</w:t>
            </w: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地方</w:t>
            </w:r>
            <w:r w:rsidRPr="0063673F">
              <w:rPr>
                <w:rFonts w:ascii="宋体" w:hAnsi="宋体"/>
                <w:sz w:val="24"/>
              </w:rPr>
              <w:t>特色高水平大学</w:t>
            </w:r>
            <w:r w:rsidRPr="0063673F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proofErr w:type="gramStart"/>
            <w:r w:rsidRPr="0063673F">
              <w:rPr>
                <w:rFonts w:ascii="宋体" w:hAnsi="宋体" w:hint="eastAsia"/>
                <w:sz w:val="24"/>
              </w:rPr>
              <w:t>顺利结项</w:t>
            </w:r>
            <w:proofErr w:type="gramEnd"/>
          </w:p>
        </w:tc>
        <w:tc>
          <w:tcPr>
            <w:tcW w:w="701" w:type="pct"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发展规划处</w:t>
            </w:r>
          </w:p>
        </w:tc>
        <w:tc>
          <w:tcPr>
            <w:tcW w:w="1249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2018年、2019年地方特色高水平大学建设项目连续2年获得年度检查A（优秀）评级。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/>
                <w:sz w:val="24"/>
              </w:rPr>
              <w:t>博士学位授权点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成功申报</w:t>
            </w:r>
          </w:p>
        </w:tc>
        <w:tc>
          <w:tcPr>
            <w:tcW w:w="701" w:type="pct"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研究生院</w:t>
            </w: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申报中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9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国内大学</w:t>
            </w:r>
            <w:r w:rsidRPr="0063673F">
              <w:rPr>
                <w:rFonts w:ascii="宋体" w:hAnsi="宋体"/>
                <w:sz w:val="24"/>
              </w:rPr>
              <w:t>排名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全国</w:t>
            </w:r>
            <w:r w:rsidRPr="0063673F">
              <w:rPr>
                <w:rFonts w:ascii="宋体" w:hAnsi="宋体"/>
                <w:sz w:val="24"/>
              </w:rPr>
              <w:t>高校</w:t>
            </w:r>
            <w:r w:rsidRPr="0063673F">
              <w:rPr>
                <w:rFonts w:ascii="宋体" w:hAnsi="宋体" w:hint="eastAsia"/>
                <w:sz w:val="24"/>
              </w:rPr>
              <w:t>前200位，</w:t>
            </w:r>
            <w:proofErr w:type="gramStart"/>
            <w:r w:rsidRPr="0063673F">
              <w:rPr>
                <w:rFonts w:ascii="宋体" w:hAnsi="宋体" w:hint="eastAsia"/>
                <w:sz w:val="24"/>
              </w:rPr>
              <w:t>财经类</w:t>
            </w:r>
            <w:r w:rsidRPr="0063673F">
              <w:rPr>
                <w:rFonts w:ascii="宋体" w:hAnsi="宋体"/>
                <w:sz w:val="24"/>
              </w:rPr>
              <w:t>前</w:t>
            </w:r>
            <w:r w:rsidRPr="0063673F">
              <w:rPr>
                <w:rFonts w:ascii="宋体" w:hAnsi="宋体" w:hint="eastAsia"/>
                <w:sz w:val="24"/>
              </w:rPr>
              <w:t>10位</w:t>
            </w:r>
            <w:proofErr w:type="gramEnd"/>
          </w:p>
        </w:tc>
        <w:tc>
          <w:tcPr>
            <w:tcW w:w="701" w:type="pct"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党政办公室</w:t>
            </w: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proofErr w:type="gramStart"/>
            <w:r w:rsidRPr="0063673F">
              <w:rPr>
                <w:rFonts w:ascii="宋体" w:hAnsi="宋体" w:hint="eastAsia"/>
                <w:sz w:val="24"/>
              </w:rPr>
              <w:t>中国软科</w:t>
            </w:r>
            <w:proofErr w:type="gramEnd"/>
            <w:r w:rsidRPr="0063673F">
              <w:rPr>
                <w:rFonts w:ascii="宋体" w:hAnsi="宋体" w:hint="eastAsia"/>
                <w:sz w:val="24"/>
              </w:rPr>
              <w:t>2019“中国最好大学”排名，全国第175。财经类11位。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pStyle w:val="a6"/>
              <w:widowControl/>
              <w:spacing w:beforeAutospacing="0" w:after="166" w:afterAutospacing="0" w:line="240" w:lineRule="auto"/>
              <w:ind w:right="286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pStyle w:val="a6"/>
              <w:widowControl/>
              <w:spacing w:beforeAutospacing="0" w:after="166" w:afterAutospacing="0" w:line="240" w:lineRule="auto"/>
              <w:ind w:right="286"/>
              <w:rPr>
                <w:rFonts w:ascii="宋体" w:hAnsi="宋体"/>
                <w:color w:val="auto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获得</w:t>
            </w:r>
            <w:r w:rsidRPr="0063673F">
              <w:rPr>
                <w:rFonts w:ascii="宋体" w:hAnsi="宋体"/>
                <w:sz w:val="24"/>
              </w:rPr>
              <w:t>国家级教学成果奖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成功</w:t>
            </w:r>
            <w:r w:rsidRPr="0063673F">
              <w:rPr>
                <w:rFonts w:ascii="宋体" w:hAnsi="宋体"/>
                <w:sz w:val="24"/>
              </w:rPr>
              <w:t>申报</w:t>
            </w:r>
          </w:p>
        </w:tc>
        <w:tc>
          <w:tcPr>
            <w:tcW w:w="701" w:type="pct"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国家级</w:t>
            </w:r>
            <w:r w:rsidRPr="0063673F">
              <w:rPr>
                <w:rFonts w:ascii="宋体" w:hAnsi="宋体"/>
                <w:sz w:val="24"/>
              </w:rPr>
              <w:t>教学成果二等奖</w:t>
            </w:r>
          </w:p>
        </w:tc>
        <w:tc>
          <w:tcPr>
            <w:tcW w:w="1000" w:type="pct"/>
            <w:vAlign w:val="center"/>
          </w:tcPr>
          <w:p w:rsidR="0063673F" w:rsidRPr="0063673F" w:rsidRDefault="0063673F" w:rsidP="006E1B0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 w:rsidP="006E1B0C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 w:val="restart"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人才培养</w:t>
            </w: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全日制本科生</w:t>
            </w:r>
            <w:r w:rsidRPr="0063673F">
              <w:rPr>
                <w:rFonts w:ascii="宋体" w:hAnsi="宋体"/>
                <w:sz w:val="24"/>
              </w:rPr>
              <w:t>人数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/>
                <w:sz w:val="24"/>
              </w:rPr>
              <w:t>22500</w:t>
            </w:r>
          </w:p>
        </w:tc>
        <w:tc>
          <w:tcPr>
            <w:tcW w:w="701" w:type="pct"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党政办公室</w:t>
            </w: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 xml:space="preserve">21016 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全日制研究生</w:t>
            </w:r>
            <w:r w:rsidRPr="0063673F">
              <w:rPr>
                <w:rFonts w:ascii="宋体" w:hAnsi="宋体"/>
                <w:sz w:val="24"/>
              </w:rPr>
              <w:t>人数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/>
                <w:sz w:val="24"/>
              </w:rPr>
              <w:t>2500</w:t>
            </w:r>
          </w:p>
        </w:tc>
        <w:tc>
          <w:tcPr>
            <w:tcW w:w="701" w:type="pct"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党政办公室</w:t>
            </w: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2385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毕业生</w:t>
            </w:r>
            <w:r w:rsidRPr="0063673F">
              <w:rPr>
                <w:rFonts w:ascii="宋体" w:hAnsi="宋体"/>
                <w:sz w:val="24"/>
              </w:rPr>
              <w:t>就业率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90</w:t>
            </w:r>
            <w:r w:rsidRPr="0063673F">
              <w:rPr>
                <w:rFonts w:ascii="宋体" w:hAnsi="宋体"/>
                <w:sz w:val="24"/>
              </w:rPr>
              <w:t>%以上</w:t>
            </w:r>
          </w:p>
        </w:tc>
        <w:tc>
          <w:tcPr>
            <w:tcW w:w="701" w:type="pct"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招就处</w:t>
            </w: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93.82%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 w:val="restart"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学科专业</w:t>
            </w:r>
            <w:r w:rsidRPr="0063673F">
              <w:rPr>
                <w:rFonts w:ascii="宋体" w:hAnsi="宋体"/>
                <w:sz w:val="24"/>
              </w:rPr>
              <w:t>建设</w:t>
            </w: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优势学科群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3个</w:t>
            </w:r>
          </w:p>
        </w:tc>
        <w:tc>
          <w:tcPr>
            <w:tcW w:w="701" w:type="pct"/>
            <w:vMerge w:val="restart"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研究生院</w:t>
            </w: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截止到2019年底学校基本完成应用经济学、工商管理、统计学3个优势学科群建设的规划目标。2019年应用经济学获批安徽省高峰建设学科，年建设资金500万元，建设周期四年。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应用经济学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前30</w:t>
            </w:r>
            <w:r w:rsidRPr="0063673F">
              <w:rPr>
                <w:rFonts w:ascii="宋体" w:hAnsi="宋体"/>
                <w:sz w:val="24"/>
              </w:rPr>
              <w:t>%</w:t>
            </w:r>
          </w:p>
        </w:tc>
        <w:tc>
          <w:tcPr>
            <w:tcW w:w="701" w:type="pct"/>
            <w:vMerge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2019年</w:t>
            </w:r>
            <w:proofErr w:type="gramStart"/>
            <w:r w:rsidRPr="0063673F">
              <w:rPr>
                <w:rFonts w:ascii="宋体" w:hAnsi="宋体" w:hint="eastAsia"/>
                <w:sz w:val="24"/>
              </w:rPr>
              <w:t>软科发布</w:t>
            </w:r>
            <w:proofErr w:type="gramEnd"/>
            <w:r w:rsidRPr="0063673F">
              <w:rPr>
                <w:rFonts w:ascii="宋体" w:hAnsi="宋体" w:hint="eastAsia"/>
                <w:sz w:val="24"/>
              </w:rPr>
              <w:t>最好学科排名，学校应用</w:t>
            </w:r>
            <w:proofErr w:type="gramStart"/>
            <w:r w:rsidRPr="0063673F">
              <w:rPr>
                <w:rFonts w:ascii="宋体" w:hAnsi="宋体" w:hint="eastAsia"/>
                <w:sz w:val="24"/>
              </w:rPr>
              <w:t>经济学软科排名</w:t>
            </w:r>
            <w:proofErr w:type="gramEnd"/>
            <w:r w:rsidRPr="0063673F">
              <w:rPr>
                <w:rFonts w:ascii="宋体" w:hAnsi="宋体" w:hint="eastAsia"/>
                <w:sz w:val="24"/>
              </w:rPr>
              <w:t>第46，位居全国前18%。</w:t>
            </w:r>
            <w:r w:rsidRPr="0063673F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工商管理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前30</w:t>
            </w:r>
            <w:r w:rsidRPr="0063673F">
              <w:rPr>
                <w:rFonts w:ascii="宋体" w:hAnsi="宋体"/>
                <w:sz w:val="24"/>
              </w:rPr>
              <w:t>%</w:t>
            </w:r>
          </w:p>
        </w:tc>
        <w:tc>
          <w:tcPr>
            <w:tcW w:w="701" w:type="pct"/>
            <w:vMerge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工商</w:t>
            </w:r>
            <w:proofErr w:type="gramStart"/>
            <w:r w:rsidRPr="0063673F">
              <w:rPr>
                <w:rFonts w:ascii="宋体" w:hAnsi="宋体" w:hint="eastAsia"/>
                <w:sz w:val="24"/>
              </w:rPr>
              <w:t>管理软科排名</w:t>
            </w:r>
            <w:proofErr w:type="gramEnd"/>
            <w:r w:rsidRPr="0063673F">
              <w:rPr>
                <w:rFonts w:ascii="宋体" w:hAnsi="宋体" w:hint="eastAsia"/>
                <w:sz w:val="24"/>
              </w:rPr>
              <w:t>第59，位居全国前20%。</w:t>
            </w:r>
            <w:r w:rsidRPr="0063673F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统计学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前30</w:t>
            </w:r>
            <w:r w:rsidRPr="0063673F">
              <w:rPr>
                <w:rFonts w:ascii="宋体" w:hAnsi="宋体"/>
                <w:sz w:val="24"/>
              </w:rPr>
              <w:t>%</w:t>
            </w:r>
          </w:p>
        </w:tc>
        <w:tc>
          <w:tcPr>
            <w:tcW w:w="701" w:type="pct"/>
            <w:vMerge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proofErr w:type="gramStart"/>
            <w:r w:rsidRPr="0063673F">
              <w:rPr>
                <w:rFonts w:ascii="宋体" w:hAnsi="宋体" w:hint="eastAsia"/>
                <w:sz w:val="24"/>
              </w:rPr>
              <w:t>统计学软科</w:t>
            </w:r>
            <w:proofErr w:type="gramEnd"/>
            <w:r w:rsidRPr="0063673F">
              <w:rPr>
                <w:rFonts w:ascii="宋体" w:hAnsi="宋体" w:hint="eastAsia"/>
                <w:sz w:val="24"/>
              </w:rPr>
              <w:t>2019排名第10，位居全国前8%。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体现</w:t>
            </w:r>
            <w:r w:rsidRPr="0063673F">
              <w:rPr>
                <w:rFonts w:ascii="宋体" w:hAnsi="宋体"/>
                <w:sz w:val="24"/>
              </w:rPr>
              <w:t>学校优势与特色、满足地方及行业战略新兴产业的交叉复合专业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5-10个</w:t>
            </w:r>
          </w:p>
        </w:tc>
        <w:tc>
          <w:tcPr>
            <w:tcW w:w="701" w:type="pct"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10个国家级一流专业建设点，6个省级一流专业建设点；5个国家级特色专业，18个省级特色专业，1个国家级专业综合改革试点项目，4个省级专业综合改革试点；“十三五”期间，我校申请并获批互联网金融、人工智能、数字经济、数据科学与大数据技术等多个体现</w:t>
            </w:r>
            <w:r w:rsidRPr="0063673F">
              <w:rPr>
                <w:rFonts w:ascii="宋体" w:hAnsi="宋体"/>
                <w:sz w:val="24"/>
              </w:rPr>
              <w:t>学校优势与特色、满足地方及行业战略新兴产业的交叉复合专业</w:t>
            </w:r>
            <w:r w:rsidRPr="0063673F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 w:val="restart"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科学研究</w:t>
            </w: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社科基金</w:t>
            </w:r>
            <w:r w:rsidRPr="0063673F">
              <w:rPr>
                <w:rFonts w:ascii="宋体" w:hAnsi="宋体"/>
                <w:sz w:val="24"/>
              </w:rPr>
              <w:t>立项数</w:t>
            </w:r>
            <w:r w:rsidRPr="0063673F"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全国</w:t>
            </w:r>
            <w:r w:rsidRPr="0063673F">
              <w:rPr>
                <w:rFonts w:ascii="宋体" w:hAnsi="宋体"/>
                <w:sz w:val="24"/>
              </w:rPr>
              <w:t>财经类高校</w:t>
            </w:r>
            <w:r w:rsidRPr="0063673F">
              <w:rPr>
                <w:rFonts w:ascii="宋体" w:hAnsi="宋体" w:hint="eastAsia"/>
                <w:sz w:val="24"/>
              </w:rPr>
              <w:t>前10位</w:t>
            </w:r>
          </w:p>
        </w:tc>
        <w:tc>
          <w:tcPr>
            <w:tcW w:w="701" w:type="pct"/>
            <w:vMerge w:val="restart"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科研处</w:t>
            </w: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10名左右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国家级</w:t>
            </w:r>
            <w:r w:rsidRPr="0063673F">
              <w:rPr>
                <w:rFonts w:ascii="宋体" w:hAnsi="宋体"/>
                <w:sz w:val="24"/>
              </w:rPr>
              <w:t>项目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100项</w:t>
            </w:r>
          </w:p>
        </w:tc>
        <w:tc>
          <w:tcPr>
            <w:tcW w:w="701" w:type="pct"/>
            <w:vMerge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86项</w:t>
            </w:r>
          </w:p>
        </w:tc>
        <w:tc>
          <w:tcPr>
            <w:tcW w:w="1000" w:type="pct"/>
            <w:vAlign w:val="center"/>
          </w:tcPr>
          <w:p w:rsidR="0063673F" w:rsidRPr="0063673F" w:rsidRDefault="0063673F" w:rsidP="006E1B0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 w:rsidP="006E1B0C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省部级科研</w:t>
            </w:r>
            <w:r w:rsidRPr="0063673F">
              <w:rPr>
                <w:rFonts w:ascii="宋体" w:hAnsi="宋体"/>
                <w:sz w:val="24"/>
              </w:rPr>
              <w:t>项目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300项</w:t>
            </w:r>
          </w:p>
        </w:tc>
        <w:tc>
          <w:tcPr>
            <w:tcW w:w="701" w:type="pct"/>
            <w:vMerge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426项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校外</w:t>
            </w:r>
            <w:r w:rsidRPr="0063673F">
              <w:rPr>
                <w:rFonts w:ascii="宋体" w:hAnsi="宋体"/>
                <w:sz w:val="24"/>
              </w:rPr>
              <w:t>来源科研经费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8000万元</w:t>
            </w:r>
          </w:p>
        </w:tc>
        <w:tc>
          <w:tcPr>
            <w:tcW w:w="701" w:type="pct"/>
            <w:vMerge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6107.39万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proofErr w:type="gramStart"/>
            <w:r w:rsidRPr="0063673F">
              <w:rPr>
                <w:rFonts w:ascii="宋体" w:hAnsi="宋体" w:hint="eastAsia"/>
                <w:sz w:val="24"/>
              </w:rPr>
              <w:t>校定</w:t>
            </w:r>
            <w:proofErr w:type="gramEnd"/>
            <w:r w:rsidRPr="0063673F">
              <w:rPr>
                <w:rFonts w:ascii="宋体" w:hAnsi="宋体"/>
                <w:sz w:val="24"/>
              </w:rPr>
              <w:t>权威期刊论文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50篇</w:t>
            </w:r>
          </w:p>
        </w:tc>
        <w:tc>
          <w:tcPr>
            <w:tcW w:w="701" w:type="pct"/>
            <w:vMerge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96篇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核心</w:t>
            </w:r>
            <w:r w:rsidRPr="0063673F">
              <w:rPr>
                <w:rFonts w:ascii="宋体" w:hAnsi="宋体"/>
                <w:sz w:val="24"/>
              </w:rPr>
              <w:t>以上期刊论文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500篇</w:t>
            </w:r>
          </w:p>
        </w:tc>
        <w:tc>
          <w:tcPr>
            <w:tcW w:w="701" w:type="pct"/>
            <w:vMerge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920篇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Cs w:val="21"/>
              </w:rPr>
              <w:t>SSCI、SCI、</w:t>
            </w:r>
            <w:r w:rsidRPr="0063673F">
              <w:rPr>
                <w:rFonts w:ascii="宋体" w:hAnsi="宋体"/>
                <w:szCs w:val="21"/>
              </w:rPr>
              <w:t>EI</w:t>
            </w:r>
            <w:r w:rsidRPr="0063673F">
              <w:rPr>
                <w:rFonts w:ascii="宋体" w:hAnsi="宋体" w:hint="eastAsia"/>
                <w:szCs w:val="21"/>
              </w:rPr>
              <w:t>期刊</w:t>
            </w:r>
            <w:r w:rsidRPr="0063673F">
              <w:rPr>
                <w:rFonts w:ascii="宋体" w:hAnsi="宋体"/>
                <w:szCs w:val="21"/>
              </w:rPr>
              <w:t>发表论文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100篇</w:t>
            </w:r>
          </w:p>
        </w:tc>
        <w:tc>
          <w:tcPr>
            <w:tcW w:w="701" w:type="pct"/>
            <w:vMerge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302篇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一类</w:t>
            </w:r>
            <w:r w:rsidRPr="0063673F">
              <w:rPr>
                <w:rFonts w:ascii="宋体" w:hAnsi="宋体"/>
                <w:sz w:val="24"/>
              </w:rPr>
              <w:t>出版社出版学术专著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/>
                <w:sz w:val="24"/>
              </w:rPr>
              <w:t>50</w:t>
            </w:r>
            <w:r w:rsidRPr="0063673F">
              <w:rPr>
                <w:rFonts w:ascii="宋体" w:hAnsi="宋体" w:hint="eastAsia"/>
                <w:sz w:val="24"/>
              </w:rPr>
              <w:t>部</w:t>
            </w:r>
          </w:p>
        </w:tc>
        <w:tc>
          <w:tcPr>
            <w:tcW w:w="701" w:type="pct"/>
            <w:vMerge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270部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国际学术</w:t>
            </w:r>
            <w:r w:rsidRPr="0063673F">
              <w:rPr>
                <w:rFonts w:ascii="宋体" w:hAnsi="宋体"/>
                <w:sz w:val="24"/>
              </w:rPr>
              <w:t>会议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10次</w:t>
            </w:r>
            <w:r w:rsidRPr="0063673F">
              <w:rPr>
                <w:rFonts w:ascii="宋体" w:hAnsi="宋体"/>
                <w:sz w:val="24"/>
              </w:rPr>
              <w:t>以上</w:t>
            </w:r>
          </w:p>
        </w:tc>
        <w:tc>
          <w:tcPr>
            <w:tcW w:w="701" w:type="pct"/>
            <w:vMerge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16次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全国性</w:t>
            </w:r>
            <w:r w:rsidRPr="0063673F">
              <w:rPr>
                <w:rFonts w:ascii="宋体" w:hAnsi="宋体"/>
                <w:sz w:val="24"/>
              </w:rPr>
              <w:t>学术会议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30次</w:t>
            </w:r>
            <w:r w:rsidRPr="0063673F">
              <w:rPr>
                <w:rFonts w:ascii="宋体" w:hAnsi="宋体"/>
                <w:sz w:val="24"/>
              </w:rPr>
              <w:t>以上</w:t>
            </w:r>
          </w:p>
        </w:tc>
        <w:tc>
          <w:tcPr>
            <w:tcW w:w="701" w:type="pct"/>
            <w:vMerge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32次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 w:val="restart"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社会服务</w:t>
            </w: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财经</w:t>
            </w:r>
            <w:r w:rsidRPr="0063673F">
              <w:rPr>
                <w:rFonts w:ascii="宋体" w:hAnsi="宋体"/>
                <w:sz w:val="24"/>
              </w:rPr>
              <w:t>智库建设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省内</w:t>
            </w:r>
            <w:r w:rsidRPr="0063673F">
              <w:rPr>
                <w:rFonts w:ascii="宋体" w:hAnsi="宋体"/>
                <w:sz w:val="24"/>
              </w:rPr>
              <w:t>一流</w:t>
            </w:r>
          </w:p>
        </w:tc>
        <w:tc>
          <w:tcPr>
            <w:tcW w:w="701" w:type="pct"/>
            <w:vMerge w:val="restart"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科研处、中国</w:t>
            </w:r>
            <w:r w:rsidRPr="0063673F">
              <w:rPr>
                <w:rFonts w:ascii="宋体" w:hAnsi="宋体"/>
                <w:sz w:val="24"/>
              </w:rPr>
              <w:t>合作社研究院、</w:t>
            </w:r>
            <w:r w:rsidRPr="0063673F">
              <w:rPr>
                <w:rFonts w:ascii="宋体" w:hAnsi="宋体" w:hint="eastAsia"/>
                <w:sz w:val="24"/>
              </w:rPr>
              <w:t>安徽</w:t>
            </w:r>
            <w:r w:rsidRPr="0063673F">
              <w:rPr>
                <w:rFonts w:ascii="宋体" w:hAnsi="宋体"/>
                <w:sz w:val="24"/>
              </w:rPr>
              <w:t>经济社会发展研究院</w:t>
            </w: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安徽十大重点智库，是中国智库索引（CTTI）首批来源智库，入选CTTI高校智库百强榜，被评为A</w:t>
            </w:r>
            <w:r w:rsidRPr="0063673F">
              <w:rPr>
                <w:rFonts w:ascii="宋体" w:hAnsi="宋体"/>
                <w:sz w:val="24"/>
              </w:rPr>
              <w:t>-级智库</w:t>
            </w:r>
            <w:r w:rsidRPr="0063673F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系列研究报告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品牌化</w:t>
            </w:r>
          </w:p>
        </w:tc>
        <w:tc>
          <w:tcPr>
            <w:tcW w:w="701" w:type="pct"/>
            <w:vMerge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/>
                <w:sz w:val="24"/>
              </w:rPr>
              <w:t>已连续出版14年，共计出版73部，定期召开新闻发布会</w:t>
            </w:r>
            <w:r w:rsidRPr="0063673F">
              <w:rPr>
                <w:rFonts w:ascii="宋体" w:hAnsi="宋体" w:hint="eastAsia"/>
                <w:sz w:val="24"/>
              </w:rPr>
              <w:t>，影响力不断扩大，呈现系列化、品牌化特点。合作经济报告连续出版7年。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adjustRightInd w:val="0"/>
              <w:snapToGrid w:val="0"/>
              <w:jc w:val="left"/>
              <w:rPr>
                <w:bCs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adjustRightInd w:val="0"/>
              <w:snapToGrid w:val="0"/>
              <w:jc w:val="left"/>
              <w:rPr>
                <w:bCs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横向</w:t>
            </w:r>
            <w:r w:rsidRPr="0063673F">
              <w:rPr>
                <w:rFonts w:ascii="宋体" w:hAnsi="宋体"/>
                <w:sz w:val="24"/>
              </w:rPr>
              <w:t>项目经费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3000万</w:t>
            </w:r>
            <w:r w:rsidRPr="0063673F">
              <w:rPr>
                <w:rFonts w:ascii="宋体" w:hAnsi="宋体"/>
                <w:sz w:val="24"/>
              </w:rPr>
              <w:t>元</w:t>
            </w:r>
          </w:p>
        </w:tc>
        <w:tc>
          <w:tcPr>
            <w:tcW w:w="701" w:type="pct"/>
            <w:vMerge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/>
                <w:sz w:val="24"/>
              </w:rPr>
              <w:t>2707.68万</w:t>
            </w:r>
            <w:r w:rsidRPr="0063673F">
              <w:rPr>
                <w:rFonts w:ascii="宋体" w:hAnsi="宋体" w:hint="eastAsia"/>
                <w:sz w:val="24"/>
              </w:rPr>
              <w:t>。合作经济研究院2019年108.5万。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adjustRightInd w:val="0"/>
              <w:snapToGrid w:val="0"/>
              <w:jc w:val="left"/>
              <w:rPr>
                <w:bCs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adjustRightInd w:val="0"/>
              <w:snapToGrid w:val="0"/>
              <w:jc w:val="left"/>
              <w:rPr>
                <w:bCs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 w:val="restart"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队伍建设</w:t>
            </w: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专任</w:t>
            </w:r>
            <w:r w:rsidRPr="0063673F">
              <w:rPr>
                <w:rFonts w:ascii="宋体" w:hAnsi="宋体"/>
                <w:sz w:val="24"/>
              </w:rPr>
              <w:t>教师规模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1200人</w:t>
            </w:r>
          </w:p>
        </w:tc>
        <w:tc>
          <w:tcPr>
            <w:tcW w:w="701" w:type="pct"/>
            <w:vMerge w:val="restart"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人事处</w:t>
            </w: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1620（含柔性引进）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具有</w:t>
            </w:r>
            <w:r w:rsidRPr="0063673F">
              <w:rPr>
                <w:rFonts w:ascii="宋体" w:hAnsi="宋体"/>
                <w:sz w:val="24"/>
              </w:rPr>
              <w:t>博士学位教师比例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50%</w:t>
            </w:r>
          </w:p>
        </w:tc>
        <w:tc>
          <w:tcPr>
            <w:tcW w:w="701" w:type="pct"/>
            <w:vMerge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48.70%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29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正高级</w:t>
            </w:r>
            <w:r w:rsidRPr="0063673F">
              <w:rPr>
                <w:rFonts w:ascii="宋体" w:hAnsi="宋体"/>
                <w:sz w:val="24"/>
              </w:rPr>
              <w:t>职称教师比例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17</w:t>
            </w:r>
            <w:r w:rsidRPr="0063673F">
              <w:rPr>
                <w:rFonts w:ascii="宋体" w:hAnsi="宋体"/>
                <w:sz w:val="24"/>
              </w:rPr>
              <w:t>%</w:t>
            </w:r>
          </w:p>
        </w:tc>
        <w:tc>
          <w:tcPr>
            <w:tcW w:w="701" w:type="pct"/>
            <w:vMerge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14.7%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副高级</w:t>
            </w:r>
            <w:r w:rsidRPr="0063673F">
              <w:rPr>
                <w:rFonts w:ascii="宋体" w:hAnsi="宋体"/>
                <w:sz w:val="24"/>
              </w:rPr>
              <w:t>职称教师比例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30</w:t>
            </w:r>
            <w:r w:rsidRPr="0063673F">
              <w:rPr>
                <w:rFonts w:ascii="宋体" w:hAnsi="宋体"/>
                <w:sz w:val="24"/>
              </w:rPr>
              <w:t>%</w:t>
            </w:r>
          </w:p>
        </w:tc>
        <w:tc>
          <w:tcPr>
            <w:tcW w:w="701" w:type="pct"/>
            <w:vMerge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31.3%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Cs w:val="21"/>
              </w:rPr>
              <w:t>6个</w:t>
            </w:r>
            <w:r w:rsidRPr="0063673F">
              <w:rPr>
                <w:rFonts w:ascii="宋体" w:hAnsi="宋体"/>
                <w:szCs w:val="21"/>
              </w:rPr>
              <w:t>月以上</w:t>
            </w:r>
            <w:r w:rsidRPr="0063673F">
              <w:rPr>
                <w:rFonts w:ascii="宋体" w:hAnsi="宋体" w:hint="eastAsia"/>
                <w:szCs w:val="21"/>
              </w:rPr>
              <w:t>国内外</w:t>
            </w:r>
            <w:r w:rsidRPr="0063673F">
              <w:rPr>
                <w:rFonts w:ascii="宋体" w:hAnsi="宋体"/>
                <w:szCs w:val="21"/>
              </w:rPr>
              <w:t>进修比例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/>
                <w:sz w:val="24"/>
              </w:rPr>
              <w:t>30%</w:t>
            </w:r>
          </w:p>
        </w:tc>
        <w:tc>
          <w:tcPr>
            <w:tcW w:w="701" w:type="pct"/>
            <w:vMerge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25.4%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新增</w:t>
            </w:r>
            <w:r w:rsidRPr="0063673F">
              <w:rPr>
                <w:rFonts w:ascii="宋体" w:hAnsi="宋体"/>
                <w:sz w:val="24"/>
              </w:rPr>
              <w:t>三类人才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6名以上</w:t>
            </w:r>
          </w:p>
        </w:tc>
        <w:tc>
          <w:tcPr>
            <w:tcW w:w="701" w:type="pct"/>
            <w:vMerge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6名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新增</w:t>
            </w:r>
            <w:r w:rsidRPr="0063673F">
              <w:rPr>
                <w:rFonts w:ascii="宋体" w:hAnsi="宋体"/>
                <w:sz w:val="24"/>
              </w:rPr>
              <w:t>二类人才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1名</w:t>
            </w:r>
            <w:r w:rsidRPr="0063673F">
              <w:rPr>
                <w:rFonts w:ascii="宋体" w:hAnsi="宋体"/>
                <w:sz w:val="24"/>
              </w:rPr>
              <w:t>以上</w:t>
            </w:r>
          </w:p>
        </w:tc>
        <w:tc>
          <w:tcPr>
            <w:tcW w:w="701" w:type="pct"/>
            <w:vMerge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1名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经管法</w:t>
            </w:r>
            <w:r w:rsidRPr="0063673F">
              <w:rPr>
                <w:rFonts w:ascii="宋体" w:hAnsi="宋体"/>
                <w:sz w:val="24"/>
              </w:rPr>
              <w:t>学科</w:t>
            </w:r>
            <w:r w:rsidRPr="0063673F">
              <w:rPr>
                <w:rFonts w:ascii="宋体" w:hAnsi="宋体" w:hint="eastAsia"/>
                <w:sz w:val="24"/>
              </w:rPr>
              <w:t>“皖江学者”或“龙湖学者”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各5名以上</w:t>
            </w:r>
          </w:p>
        </w:tc>
        <w:tc>
          <w:tcPr>
            <w:tcW w:w="701" w:type="pct"/>
            <w:vMerge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共33名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其他各</w:t>
            </w:r>
            <w:r w:rsidRPr="0063673F">
              <w:rPr>
                <w:rFonts w:ascii="宋体" w:hAnsi="宋体"/>
                <w:sz w:val="24"/>
              </w:rPr>
              <w:t>学科学术和技术带头人或</w:t>
            </w:r>
            <w:r w:rsidRPr="0063673F">
              <w:rPr>
                <w:rFonts w:ascii="宋体" w:hAnsi="宋体" w:hint="eastAsia"/>
                <w:sz w:val="24"/>
              </w:rPr>
              <w:t>后备人选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各5名以上</w:t>
            </w:r>
          </w:p>
        </w:tc>
        <w:tc>
          <w:tcPr>
            <w:tcW w:w="701" w:type="pct"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人事处、科研处</w:t>
            </w: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共80名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高水平</w:t>
            </w:r>
            <w:r w:rsidRPr="0063673F">
              <w:rPr>
                <w:rFonts w:ascii="宋体" w:hAnsi="宋体"/>
                <w:sz w:val="24"/>
              </w:rPr>
              <w:t>创新团队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6-8个</w:t>
            </w:r>
          </w:p>
        </w:tc>
        <w:tc>
          <w:tcPr>
            <w:tcW w:w="701" w:type="pct"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科研处、教务处</w:t>
            </w: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/>
                <w:sz w:val="24"/>
              </w:rPr>
              <w:t>省级科研创新团队5个，</w:t>
            </w:r>
            <w:r w:rsidRPr="0063673F">
              <w:rPr>
                <w:rFonts w:ascii="宋体" w:hAnsi="宋体" w:hint="eastAsia"/>
                <w:sz w:val="24"/>
              </w:rPr>
              <w:t>省级高水平教学团队15个，省级名师工作室3个。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 w:val="restart"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国际交流</w:t>
            </w:r>
            <w:r w:rsidRPr="0063673F">
              <w:rPr>
                <w:rFonts w:ascii="宋体" w:hAnsi="宋体"/>
                <w:sz w:val="24"/>
              </w:rPr>
              <w:t>与合作</w:t>
            </w: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海外友好</w:t>
            </w:r>
            <w:r w:rsidRPr="0063673F">
              <w:rPr>
                <w:rFonts w:ascii="宋体" w:hAnsi="宋体"/>
                <w:sz w:val="24"/>
              </w:rPr>
              <w:t>合作院校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50所</w:t>
            </w:r>
          </w:p>
        </w:tc>
        <w:tc>
          <w:tcPr>
            <w:tcW w:w="701" w:type="pct"/>
            <w:vMerge w:val="restart"/>
            <w:vAlign w:val="center"/>
          </w:tcPr>
          <w:p w:rsidR="0063673F" w:rsidRPr="0063673F" w:rsidRDefault="0063673F">
            <w:pPr>
              <w:jc w:val="center"/>
            </w:pPr>
            <w:r w:rsidRPr="0063673F">
              <w:rPr>
                <w:rFonts w:hint="eastAsia"/>
              </w:rPr>
              <w:t>国际交流中心</w:t>
            </w: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“十三五”期间，合作院校总数达52所。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教师</w:t>
            </w:r>
            <w:r w:rsidRPr="0063673F">
              <w:rPr>
                <w:rFonts w:ascii="宋体" w:hAnsi="宋体"/>
                <w:sz w:val="24"/>
              </w:rPr>
              <w:t>出国（</w:t>
            </w:r>
            <w:r w:rsidRPr="0063673F">
              <w:rPr>
                <w:rFonts w:ascii="宋体" w:hAnsi="宋体" w:hint="eastAsia"/>
                <w:sz w:val="24"/>
              </w:rPr>
              <w:t>境</w:t>
            </w:r>
            <w:r w:rsidRPr="0063673F">
              <w:rPr>
                <w:rFonts w:ascii="宋体" w:hAnsi="宋体"/>
                <w:sz w:val="24"/>
              </w:rPr>
              <w:t>）</w:t>
            </w:r>
            <w:r w:rsidRPr="0063673F">
              <w:rPr>
                <w:rFonts w:ascii="宋体" w:hAnsi="宋体" w:hint="eastAsia"/>
                <w:sz w:val="24"/>
              </w:rPr>
              <w:t>学习</w:t>
            </w:r>
            <w:r w:rsidRPr="0063673F">
              <w:rPr>
                <w:rFonts w:ascii="宋体" w:hAnsi="宋体"/>
                <w:sz w:val="24"/>
              </w:rPr>
              <w:t>交流经历比例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/>
                <w:sz w:val="24"/>
              </w:rPr>
              <w:t>40%</w:t>
            </w:r>
          </w:p>
        </w:tc>
        <w:tc>
          <w:tcPr>
            <w:tcW w:w="701" w:type="pct"/>
            <w:vMerge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年均90人左右，“十三五”期间达450余人。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在校生</w:t>
            </w:r>
            <w:r w:rsidRPr="0063673F">
              <w:rPr>
                <w:rFonts w:ascii="宋体" w:hAnsi="宋体"/>
                <w:sz w:val="24"/>
              </w:rPr>
              <w:t>留学海外人数的年级人数比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/>
                <w:sz w:val="24"/>
              </w:rPr>
              <w:t>5%</w:t>
            </w:r>
          </w:p>
        </w:tc>
        <w:tc>
          <w:tcPr>
            <w:tcW w:w="701" w:type="pct"/>
            <w:vMerge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年均100人左右，“十三五”期间达500余人。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留学生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班级</w:t>
            </w:r>
            <w:r w:rsidRPr="0063673F">
              <w:rPr>
                <w:rFonts w:ascii="宋体" w:hAnsi="宋体"/>
                <w:sz w:val="24"/>
              </w:rPr>
              <w:t>独立建制</w:t>
            </w:r>
          </w:p>
        </w:tc>
        <w:tc>
          <w:tcPr>
            <w:tcW w:w="701" w:type="pct"/>
            <w:vMerge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5个独立建制班。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聘请</w:t>
            </w:r>
            <w:r w:rsidRPr="0063673F">
              <w:rPr>
                <w:rFonts w:ascii="宋体" w:hAnsi="宋体"/>
                <w:sz w:val="24"/>
              </w:rPr>
              <w:t>高层次外国专家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50人次</w:t>
            </w:r>
          </w:p>
        </w:tc>
        <w:tc>
          <w:tcPr>
            <w:tcW w:w="701" w:type="pct"/>
            <w:vMerge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年均10余人，“十三五”期间达50余人。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 w:val="restart"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lastRenderedPageBreak/>
              <w:t>公共</w:t>
            </w:r>
            <w:r w:rsidRPr="0063673F">
              <w:rPr>
                <w:rFonts w:ascii="宋体" w:hAnsi="宋体"/>
                <w:sz w:val="24"/>
              </w:rPr>
              <w:t>服务体系建设</w:t>
            </w: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/>
                <w:sz w:val="24"/>
              </w:rPr>
              <w:t>信息化校园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全面</w:t>
            </w:r>
            <w:r w:rsidRPr="0063673F">
              <w:rPr>
                <w:rFonts w:ascii="宋体" w:hAnsi="宋体"/>
                <w:sz w:val="24"/>
              </w:rPr>
              <w:t>建成</w:t>
            </w:r>
          </w:p>
        </w:tc>
        <w:tc>
          <w:tcPr>
            <w:tcW w:w="701" w:type="pct"/>
            <w:vMerge w:val="restart"/>
            <w:vAlign w:val="center"/>
          </w:tcPr>
          <w:p w:rsidR="0063673F" w:rsidRPr="0063673F" w:rsidRDefault="0063673F">
            <w:pPr>
              <w:jc w:val="center"/>
            </w:pPr>
            <w:r w:rsidRPr="0063673F">
              <w:rPr>
                <w:rFonts w:hint="eastAsia"/>
              </w:rPr>
              <w:t>图书与信息中心</w:t>
            </w: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已完成</w:t>
            </w:r>
            <w:bookmarkStart w:id="0" w:name="_GoBack"/>
            <w:bookmarkEnd w:id="0"/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年</w:t>
            </w:r>
            <w:r w:rsidRPr="0063673F">
              <w:rPr>
                <w:rFonts w:ascii="宋体" w:hAnsi="宋体"/>
                <w:sz w:val="24"/>
              </w:rPr>
              <w:t>新增图书资料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2.5万册</w:t>
            </w:r>
          </w:p>
        </w:tc>
        <w:tc>
          <w:tcPr>
            <w:tcW w:w="701" w:type="pct"/>
            <w:vMerge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已完成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数字化</w:t>
            </w:r>
            <w:r w:rsidRPr="0063673F">
              <w:rPr>
                <w:rFonts w:ascii="宋体" w:hAnsi="宋体"/>
                <w:sz w:val="24"/>
              </w:rPr>
              <w:t>文献资源总数据量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/>
                <w:sz w:val="24"/>
              </w:rPr>
              <w:t>120T</w:t>
            </w:r>
          </w:p>
        </w:tc>
        <w:tc>
          <w:tcPr>
            <w:tcW w:w="701" w:type="pct"/>
            <w:vMerge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已完成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跨</w:t>
            </w:r>
            <w:r w:rsidRPr="0063673F">
              <w:rPr>
                <w:rFonts w:ascii="宋体" w:hAnsi="宋体"/>
                <w:sz w:val="24"/>
              </w:rPr>
              <w:t>专业综合实验平台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建成</w:t>
            </w:r>
          </w:p>
        </w:tc>
        <w:tc>
          <w:tcPr>
            <w:tcW w:w="701" w:type="pct"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已有3个</w:t>
            </w:r>
            <w:r w:rsidRPr="0063673F">
              <w:rPr>
                <w:rFonts w:ascii="宋体" w:hAnsi="宋体"/>
                <w:sz w:val="24"/>
              </w:rPr>
              <w:t>跨专业综合实验平台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3673F" w:rsidRPr="0063673F" w:rsidTr="0063673F">
        <w:trPr>
          <w:cantSplit/>
          <w:trHeight w:val="454"/>
          <w:jc w:val="center"/>
        </w:trPr>
        <w:tc>
          <w:tcPr>
            <w:tcW w:w="267" w:type="pct"/>
            <w:vMerge/>
            <w:vAlign w:val="center"/>
          </w:tcPr>
          <w:p w:rsidR="0063673F" w:rsidRPr="0063673F" w:rsidRDefault="006367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龙湖</w:t>
            </w:r>
            <w:r w:rsidRPr="0063673F">
              <w:rPr>
                <w:rFonts w:ascii="宋体" w:hAnsi="宋体"/>
                <w:sz w:val="24"/>
              </w:rPr>
              <w:t>西校区图书馆</w:t>
            </w:r>
          </w:p>
        </w:tc>
        <w:tc>
          <w:tcPr>
            <w:tcW w:w="546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改扩建完成</w:t>
            </w:r>
          </w:p>
        </w:tc>
        <w:tc>
          <w:tcPr>
            <w:tcW w:w="701" w:type="pct"/>
            <w:vAlign w:val="center"/>
          </w:tcPr>
          <w:p w:rsidR="0063673F" w:rsidRPr="0063673F" w:rsidRDefault="0063673F">
            <w:pPr>
              <w:jc w:val="center"/>
              <w:rPr>
                <w:rFonts w:ascii="宋体" w:hAnsi="宋体"/>
                <w:sz w:val="24"/>
              </w:rPr>
            </w:pPr>
            <w:r w:rsidRPr="0063673F">
              <w:rPr>
                <w:rFonts w:hint="eastAsia"/>
              </w:rPr>
              <w:t>图书与信息中心</w:t>
            </w:r>
          </w:p>
        </w:tc>
        <w:tc>
          <w:tcPr>
            <w:tcW w:w="1249" w:type="pct"/>
            <w:vAlign w:val="center"/>
          </w:tcPr>
          <w:p w:rsidR="0063673F" w:rsidRPr="0063673F" w:rsidRDefault="0063673F" w:rsidP="00DA048E">
            <w:pPr>
              <w:jc w:val="left"/>
              <w:rPr>
                <w:rFonts w:ascii="宋体" w:hAnsi="宋体"/>
                <w:sz w:val="24"/>
              </w:rPr>
            </w:pPr>
            <w:r w:rsidRPr="0063673F">
              <w:rPr>
                <w:rFonts w:ascii="宋体" w:hAnsi="宋体" w:hint="eastAsia"/>
                <w:sz w:val="24"/>
              </w:rPr>
              <w:t>已扩建完成</w:t>
            </w:r>
          </w:p>
        </w:tc>
        <w:tc>
          <w:tcPr>
            <w:tcW w:w="1000" w:type="pct"/>
            <w:vAlign w:val="center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" w:type="pct"/>
          </w:tcPr>
          <w:p w:rsidR="0063673F" w:rsidRPr="0063673F" w:rsidRDefault="0063673F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F16BA5" w:rsidRDefault="00F16BA5"/>
    <w:sectPr w:rsidR="00F16BA5">
      <w:footerReference w:type="default" r:id="rId8"/>
      <w:pgSz w:w="16838" w:h="11906" w:orient="landscape"/>
      <w:pgMar w:top="1380" w:right="1440" w:bottom="1702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86" w:rsidRDefault="00023E86">
      <w:r>
        <w:separator/>
      </w:r>
    </w:p>
  </w:endnote>
  <w:endnote w:type="continuationSeparator" w:id="0">
    <w:p w:rsidR="00023E86" w:rsidRDefault="0002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945539"/>
    </w:sdtPr>
    <w:sdtEndPr/>
    <w:sdtContent>
      <w:p w:rsidR="00F16BA5" w:rsidRDefault="00FB52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73F" w:rsidRPr="0063673F">
          <w:rPr>
            <w:noProof/>
            <w:lang w:val="zh-CN"/>
          </w:rPr>
          <w:t>-</w:t>
        </w:r>
        <w:r w:rsidR="0063673F">
          <w:rPr>
            <w:noProof/>
          </w:rPr>
          <w:t xml:space="preserve"> 1 -</w:t>
        </w:r>
        <w:r>
          <w:fldChar w:fldCharType="end"/>
        </w:r>
      </w:p>
    </w:sdtContent>
  </w:sdt>
  <w:p w:rsidR="00F16BA5" w:rsidRDefault="00F16B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86" w:rsidRDefault="00023E86">
      <w:r>
        <w:separator/>
      </w:r>
    </w:p>
  </w:footnote>
  <w:footnote w:type="continuationSeparator" w:id="0">
    <w:p w:rsidR="00023E86" w:rsidRDefault="00023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52"/>
    <w:rsid w:val="00023E86"/>
    <w:rsid w:val="003266A1"/>
    <w:rsid w:val="003D1F4D"/>
    <w:rsid w:val="00621B23"/>
    <w:rsid w:val="0063673F"/>
    <w:rsid w:val="006A3487"/>
    <w:rsid w:val="006E1B0C"/>
    <w:rsid w:val="009A4F2D"/>
    <w:rsid w:val="009C659F"/>
    <w:rsid w:val="00A5230A"/>
    <w:rsid w:val="00F16BA5"/>
    <w:rsid w:val="00FB526C"/>
    <w:rsid w:val="00FE3652"/>
    <w:rsid w:val="1A673DF7"/>
    <w:rsid w:val="1D3518EC"/>
    <w:rsid w:val="2CE23DB1"/>
    <w:rsid w:val="2E9C6FB5"/>
    <w:rsid w:val="3BE6087A"/>
    <w:rsid w:val="43B94B91"/>
    <w:rsid w:val="491842CE"/>
    <w:rsid w:val="5872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sz w:val="2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 w:line="15" w:lineRule="atLeast"/>
      <w:jc w:val="left"/>
    </w:pPr>
    <w:rPr>
      <w:rFonts w:ascii="Helvetica" w:eastAsia="Helvetica" w:hAnsi="Helvetica"/>
      <w:color w:val="333333"/>
      <w:kern w:val="0"/>
      <w:szCs w:val="21"/>
    </w:rPr>
  </w:style>
  <w:style w:type="character" w:styleId="a7">
    <w:name w:val="FollowedHyperlink"/>
    <w:basedOn w:val="a0"/>
    <w:uiPriority w:val="99"/>
    <w:semiHidden/>
    <w:unhideWhenUsed/>
    <w:rPr>
      <w:color w:val="333333"/>
      <w:u w:val="none"/>
    </w:rPr>
  </w:style>
  <w:style w:type="character" w:styleId="a8">
    <w:name w:val="Hyperlink"/>
    <w:basedOn w:val="a0"/>
    <w:uiPriority w:val="99"/>
    <w:semiHidden/>
    <w:unhideWhenUsed/>
    <w:rPr>
      <w:color w:val="333333"/>
      <w:u w:val="none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</w:style>
  <w:style w:type="character" w:customStyle="1" w:styleId="item-name2">
    <w:name w:val="item-name2"/>
    <w:basedOn w:val="a0"/>
    <w:qFormat/>
    <w:rPr>
      <w:b/>
      <w:color w:val="FFFFFF"/>
      <w:sz w:val="19"/>
      <w:szCs w:val="19"/>
    </w:rPr>
  </w:style>
  <w:style w:type="character" w:customStyle="1" w:styleId="item-name3">
    <w:name w:val="item-name3"/>
    <w:basedOn w:val="a0"/>
    <w:qFormat/>
    <w:rPr>
      <w:color w:val="666666"/>
    </w:rPr>
  </w:style>
  <w:style w:type="character" w:customStyle="1" w:styleId="item-name4">
    <w:name w:val="item-name4"/>
    <w:basedOn w:val="a0"/>
    <w:qFormat/>
  </w:style>
  <w:style w:type="character" w:customStyle="1" w:styleId="item-name5">
    <w:name w:val="item-name5"/>
    <w:basedOn w:val="a0"/>
    <w:rPr>
      <w:color w:val="A8C7ED"/>
      <w:sz w:val="19"/>
      <w:szCs w:val="19"/>
    </w:rPr>
  </w:style>
  <w:style w:type="character" w:customStyle="1" w:styleId="item-name6">
    <w:name w:val="item-name6"/>
    <w:basedOn w:val="a0"/>
    <w:qFormat/>
    <w:rPr>
      <w:color w:val="A8C7ED"/>
      <w:sz w:val="19"/>
      <w:szCs w:val="19"/>
    </w:rPr>
  </w:style>
  <w:style w:type="character" w:customStyle="1" w:styleId="choose">
    <w:name w:val="choose"/>
    <w:basedOn w:val="a0"/>
    <w:rPr>
      <w:color w:val="2277BA"/>
      <w:shd w:val="clear" w:color="auto" w:fill="E6F0FB"/>
    </w:rPr>
  </w:style>
  <w:style w:type="character" w:customStyle="1" w:styleId="columnname">
    <w:name w:val="column_name"/>
    <w:basedOn w:val="a0"/>
    <w:qFormat/>
    <w:rPr>
      <w:color w:val="FFFFFF"/>
      <w:sz w:val="37"/>
      <w:szCs w:val="37"/>
    </w:rPr>
  </w:style>
  <w:style w:type="character" w:customStyle="1" w:styleId="pubdate-month">
    <w:name w:val="pubdate-month"/>
    <w:basedOn w:val="a0"/>
    <w:rPr>
      <w:color w:val="666666"/>
      <w:sz w:val="21"/>
      <w:szCs w:val="21"/>
    </w:rPr>
  </w:style>
  <w:style w:type="character" w:customStyle="1" w:styleId="pubdate-day">
    <w:name w:val="pubdate-day"/>
    <w:basedOn w:val="a0"/>
    <w:qFormat/>
    <w:rPr>
      <w:color w:val="739ECC"/>
      <w:sz w:val="45"/>
      <w:szCs w:val="45"/>
    </w:rPr>
  </w:style>
  <w:style w:type="character" w:customStyle="1" w:styleId="more1">
    <w:name w:val="more1"/>
    <w:basedOn w:val="a0"/>
    <w:qFormat/>
    <w:rPr>
      <w:color w:val="FFFFFF"/>
      <w:shd w:val="clear" w:color="auto" w:fill="BE0000"/>
    </w:rPr>
  </w:style>
  <w:style w:type="character" w:customStyle="1" w:styleId="hover31">
    <w:name w:val="hover31"/>
    <w:basedOn w:val="a0"/>
    <w:qFormat/>
    <w:rPr>
      <w:shd w:val="clear" w:color="auto" w:fill="EEEEEE"/>
    </w:rPr>
  </w:style>
  <w:style w:type="character" w:customStyle="1" w:styleId="hover32">
    <w:name w:val="hover32"/>
    <w:basedOn w:val="a0"/>
    <w:rPr>
      <w:color w:val="121212"/>
      <w:shd w:val="clear" w:color="auto" w:fill="F7F7F7"/>
    </w:rPr>
  </w:style>
  <w:style w:type="paragraph" w:styleId="a9">
    <w:name w:val="Balloon Text"/>
    <w:basedOn w:val="a"/>
    <w:link w:val="Char2"/>
    <w:uiPriority w:val="99"/>
    <w:semiHidden/>
    <w:unhideWhenUsed/>
    <w:rsid w:val="0063673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3673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sz w:val="2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 w:line="15" w:lineRule="atLeast"/>
      <w:jc w:val="left"/>
    </w:pPr>
    <w:rPr>
      <w:rFonts w:ascii="Helvetica" w:eastAsia="Helvetica" w:hAnsi="Helvetica"/>
      <w:color w:val="333333"/>
      <w:kern w:val="0"/>
      <w:szCs w:val="21"/>
    </w:rPr>
  </w:style>
  <w:style w:type="character" w:styleId="a7">
    <w:name w:val="FollowedHyperlink"/>
    <w:basedOn w:val="a0"/>
    <w:uiPriority w:val="99"/>
    <w:semiHidden/>
    <w:unhideWhenUsed/>
    <w:rPr>
      <w:color w:val="333333"/>
      <w:u w:val="none"/>
    </w:rPr>
  </w:style>
  <w:style w:type="character" w:styleId="a8">
    <w:name w:val="Hyperlink"/>
    <w:basedOn w:val="a0"/>
    <w:uiPriority w:val="99"/>
    <w:semiHidden/>
    <w:unhideWhenUsed/>
    <w:rPr>
      <w:color w:val="333333"/>
      <w:u w:val="none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</w:style>
  <w:style w:type="character" w:customStyle="1" w:styleId="item-name2">
    <w:name w:val="item-name2"/>
    <w:basedOn w:val="a0"/>
    <w:qFormat/>
    <w:rPr>
      <w:b/>
      <w:color w:val="FFFFFF"/>
      <w:sz w:val="19"/>
      <w:szCs w:val="19"/>
    </w:rPr>
  </w:style>
  <w:style w:type="character" w:customStyle="1" w:styleId="item-name3">
    <w:name w:val="item-name3"/>
    <w:basedOn w:val="a0"/>
    <w:qFormat/>
    <w:rPr>
      <w:color w:val="666666"/>
    </w:rPr>
  </w:style>
  <w:style w:type="character" w:customStyle="1" w:styleId="item-name4">
    <w:name w:val="item-name4"/>
    <w:basedOn w:val="a0"/>
    <w:qFormat/>
  </w:style>
  <w:style w:type="character" w:customStyle="1" w:styleId="item-name5">
    <w:name w:val="item-name5"/>
    <w:basedOn w:val="a0"/>
    <w:rPr>
      <w:color w:val="A8C7ED"/>
      <w:sz w:val="19"/>
      <w:szCs w:val="19"/>
    </w:rPr>
  </w:style>
  <w:style w:type="character" w:customStyle="1" w:styleId="item-name6">
    <w:name w:val="item-name6"/>
    <w:basedOn w:val="a0"/>
    <w:qFormat/>
    <w:rPr>
      <w:color w:val="A8C7ED"/>
      <w:sz w:val="19"/>
      <w:szCs w:val="19"/>
    </w:rPr>
  </w:style>
  <w:style w:type="character" w:customStyle="1" w:styleId="choose">
    <w:name w:val="choose"/>
    <w:basedOn w:val="a0"/>
    <w:rPr>
      <w:color w:val="2277BA"/>
      <w:shd w:val="clear" w:color="auto" w:fill="E6F0FB"/>
    </w:rPr>
  </w:style>
  <w:style w:type="character" w:customStyle="1" w:styleId="columnname">
    <w:name w:val="column_name"/>
    <w:basedOn w:val="a0"/>
    <w:qFormat/>
    <w:rPr>
      <w:color w:val="FFFFFF"/>
      <w:sz w:val="37"/>
      <w:szCs w:val="37"/>
    </w:rPr>
  </w:style>
  <w:style w:type="character" w:customStyle="1" w:styleId="pubdate-month">
    <w:name w:val="pubdate-month"/>
    <w:basedOn w:val="a0"/>
    <w:rPr>
      <w:color w:val="666666"/>
      <w:sz w:val="21"/>
      <w:szCs w:val="21"/>
    </w:rPr>
  </w:style>
  <w:style w:type="character" w:customStyle="1" w:styleId="pubdate-day">
    <w:name w:val="pubdate-day"/>
    <w:basedOn w:val="a0"/>
    <w:qFormat/>
    <w:rPr>
      <w:color w:val="739ECC"/>
      <w:sz w:val="45"/>
      <w:szCs w:val="45"/>
    </w:rPr>
  </w:style>
  <w:style w:type="character" w:customStyle="1" w:styleId="more1">
    <w:name w:val="more1"/>
    <w:basedOn w:val="a0"/>
    <w:qFormat/>
    <w:rPr>
      <w:color w:val="FFFFFF"/>
      <w:shd w:val="clear" w:color="auto" w:fill="BE0000"/>
    </w:rPr>
  </w:style>
  <w:style w:type="character" w:customStyle="1" w:styleId="hover31">
    <w:name w:val="hover31"/>
    <w:basedOn w:val="a0"/>
    <w:qFormat/>
    <w:rPr>
      <w:shd w:val="clear" w:color="auto" w:fill="EEEEEE"/>
    </w:rPr>
  </w:style>
  <w:style w:type="character" w:customStyle="1" w:styleId="hover32">
    <w:name w:val="hover32"/>
    <w:basedOn w:val="a0"/>
    <w:rPr>
      <w:color w:val="121212"/>
      <w:shd w:val="clear" w:color="auto" w:fill="F7F7F7"/>
    </w:rPr>
  </w:style>
  <w:style w:type="paragraph" w:styleId="a9">
    <w:name w:val="Balloon Text"/>
    <w:basedOn w:val="a"/>
    <w:link w:val="Char2"/>
    <w:uiPriority w:val="99"/>
    <w:semiHidden/>
    <w:unhideWhenUsed/>
    <w:rsid w:val="0063673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367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296</Words>
  <Characters>1689</Characters>
  <Application>Microsoft Office Word</Application>
  <DocSecurity>0</DocSecurity>
  <Lines>14</Lines>
  <Paragraphs>3</Paragraphs>
  <ScaleCrop>false</ScaleCrop>
  <Company>HP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aufesuntao</dc:creator>
  <cp:lastModifiedBy>hp</cp:lastModifiedBy>
  <cp:revision>5</cp:revision>
  <dcterms:created xsi:type="dcterms:W3CDTF">2020-06-16T08:57:00Z</dcterms:created>
  <dcterms:modified xsi:type="dcterms:W3CDTF">2020-10-13T03:21:00Z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